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3918" w14:textId="77777777" w:rsidR="000762B3" w:rsidRPr="000342A9" w:rsidRDefault="000762B3" w:rsidP="000762B3">
      <w:pPr>
        <w:pStyle w:val="Kopfzeile"/>
        <w:tabs>
          <w:tab w:val="clear" w:pos="4536"/>
          <w:tab w:val="clear" w:pos="9072"/>
          <w:tab w:val="left" w:pos="7088"/>
        </w:tabs>
      </w:pPr>
    </w:p>
    <w:p w14:paraId="7F05381D" w14:textId="77777777" w:rsidR="003A3FFA" w:rsidRDefault="00743EE9" w:rsidP="003A3FFA">
      <w:pPr>
        <w:pStyle w:val="Anrede"/>
        <w:jc w:val="center"/>
        <w:rPr>
          <w:b/>
          <w:sz w:val="30"/>
          <w:szCs w:val="30"/>
        </w:rPr>
      </w:pPr>
      <w:r>
        <w:rPr>
          <w:b/>
          <w:sz w:val="30"/>
          <w:szCs w:val="30"/>
        </w:rPr>
        <w:t xml:space="preserve">Muster-Widerspruch </w:t>
      </w:r>
    </w:p>
    <w:p w14:paraId="0646AE0B" w14:textId="77777777" w:rsidR="000762B3" w:rsidRPr="009467F3" w:rsidRDefault="00743EE9" w:rsidP="003A3FFA">
      <w:pPr>
        <w:pStyle w:val="Anrede"/>
        <w:jc w:val="center"/>
        <w:rPr>
          <w:b/>
          <w:sz w:val="30"/>
          <w:szCs w:val="30"/>
        </w:rPr>
      </w:pPr>
      <w:r>
        <w:rPr>
          <w:b/>
          <w:sz w:val="30"/>
          <w:szCs w:val="30"/>
        </w:rPr>
        <w:t xml:space="preserve">gegen </w:t>
      </w:r>
      <w:r w:rsidR="003A3FFA">
        <w:rPr>
          <w:b/>
          <w:sz w:val="30"/>
          <w:szCs w:val="30"/>
        </w:rPr>
        <w:t xml:space="preserve">die Aufforderung und </w:t>
      </w:r>
      <w:r>
        <w:rPr>
          <w:b/>
          <w:sz w:val="30"/>
          <w:szCs w:val="30"/>
        </w:rPr>
        <w:t xml:space="preserve">Fristsetzung </w:t>
      </w:r>
      <w:r w:rsidR="003A3FFA">
        <w:rPr>
          <w:b/>
          <w:sz w:val="30"/>
          <w:szCs w:val="30"/>
        </w:rPr>
        <w:t xml:space="preserve">des Gesundheitsamtes zur </w:t>
      </w:r>
      <w:r>
        <w:rPr>
          <w:b/>
          <w:sz w:val="30"/>
          <w:szCs w:val="30"/>
        </w:rPr>
        <w:t xml:space="preserve">Vorlage </w:t>
      </w:r>
      <w:r w:rsidR="003A3FFA">
        <w:rPr>
          <w:b/>
          <w:sz w:val="30"/>
          <w:szCs w:val="30"/>
        </w:rPr>
        <w:t xml:space="preserve">eines </w:t>
      </w:r>
      <w:r>
        <w:rPr>
          <w:b/>
          <w:sz w:val="30"/>
          <w:szCs w:val="30"/>
        </w:rPr>
        <w:t>Nachweis</w:t>
      </w:r>
      <w:r w:rsidR="00296694">
        <w:rPr>
          <w:b/>
          <w:sz w:val="30"/>
          <w:szCs w:val="30"/>
        </w:rPr>
        <w:t>es</w:t>
      </w:r>
      <w:r>
        <w:rPr>
          <w:b/>
          <w:sz w:val="30"/>
          <w:szCs w:val="30"/>
        </w:rPr>
        <w:t xml:space="preserve"> </w:t>
      </w:r>
      <w:r w:rsidR="003A3FFA">
        <w:rPr>
          <w:b/>
          <w:sz w:val="30"/>
          <w:szCs w:val="30"/>
        </w:rPr>
        <w:t xml:space="preserve">zum </w:t>
      </w:r>
      <w:r>
        <w:rPr>
          <w:b/>
          <w:sz w:val="30"/>
          <w:szCs w:val="30"/>
        </w:rPr>
        <w:t>Masernschutz</w:t>
      </w:r>
      <w:r w:rsidR="0023790D">
        <w:rPr>
          <w:b/>
          <w:sz w:val="30"/>
          <w:szCs w:val="30"/>
        </w:rPr>
        <w:t xml:space="preserve"> nach § 20 Abs. 12 S. 1 IfSG </w:t>
      </w:r>
    </w:p>
    <w:p w14:paraId="608F9910" w14:textId="77777777" w:rsidR="003A3FFA" w:rsidRDefault="003A3FFA" w:rsidP="008D6807">
      <w:pPr>
        <w:pStyle w:val="Textkrper"/>
        <w:rPr>
          <w:b/>
          <w:i/>
          <w:sz w:val="24"/>
          <w:szCs w:val="24"/>
          <w:u w:val="single"/>
        </w:rPr>
      </w:pPr>
    </w:p>
    <w:p w14:paraId="7FEFD612" w14:textId="77777777" w:rsidR="008D6807" w:rsidRPr="003A3FFA" w:rsidRDefault="00425837" w:rsidP="008D6807">
      <w:pPr>
        <w:pStyle w:val="Textkrper"/>
        <w:rPr>
          <w:b/>
          <w:i/>
          <w:sz w:val="24"/>
          <w:szCs w:val="24"/>
          <w:u w:val="single"/>
        </w:rPr>
      </w:pPr>
      <w:r w:rsidRPr="003A3FFA">
        <w:rPr>
          <w:b/>
          <w:i/>
          <w:sz w:val="24"/>
          <w:szCs w:val="24"/>
          <w:u w:val="single"/>
        </w:rPr>
        <w:t>Vorbemerkung:</w:t>
      </w:r>
    </w:p>
    <w:p w14:paraId="2EF479E2" w14:textId="791950BB" w:rsidR="00425837" w:rsidRDefault="00425837" w:rsidP="00425837">
      <w:pPr>
        <w:pStyle w:val="Textkrper"/>
        <w:spacing w:before="120" w:after="120"/>
        <w:jc w:val="both"/>
        <w:rPr>
          <w:i/>
        </w:rPr>
      </w:pPr>
      <w:r>
        <w:rPr>
          <w:i/>
        </w:rPr>
        <w:t>Wenn das Gesundheitsamt zur Vorlage eines Nachweises zum Masernschutz auffordert und dazu eine Frist setzt</w:t>
      </w:r>
      <w:r w:rsidR="00635E12">
        <w:rPr>
          <w:i/>
        </w:rPr>
        <w:t xml:space="preserve"> (vgl. § 20 Abs. 12 S. 1 IfSG)</w:t>
      </w:r>
      <w:r>
        <w:rPr>
          <w:i/>
        </w:rPr>
        <w:t xml:space="preserve">, dürfte es sich dabei in aller Regel um einen belastenden Verwaltungsakt handeln, gegen den grundsätzlich der Widerspruch möglich ist. </w:t>
      </w:r>
      <w:r w:rsidR="009C2234">
        <w:rPr>
          <w:i/>
        </w:rPr>
        <w:t>(</w:t>
      </w:r>
      <w:r>
        <w:rPr>
          <w:i/>
        </w:rPr>
        <w:t xml:space="preserve">Zu beachten ist allerdings, dass manche Bundesländer in unterschiedlichem Umfang das Widerspruchsverfahren als </w:t>
      </w:r>
      <w:r w:rsidR="00296694">
        <w:rPr>
          <w:i/>
        </w:rPr>
        <w:t xml:space="preserve">verwaltungsrechtliches </w:t>
      </w:r>
      <w:r>
        <w:rPr>
          <w:i/>
        </w:rPr>
        <w:t>Vorverfahren abgeschafft haben</w:t>
      </w:r>
      <w:r w:rsidR="00EE5149">
        <w:rPr>
          <w:i/>
        </w:rPr>
        <w:t xml:space="preserve"> (z.B. Bayern, Niedersachsen, NRW)</w:t>
      </w:r>
      <w:r>
        <w:rPr>
          <w:i/>
        </w:rPr>
        <w:t xml:space="preserve">. In solchen Fällen ist dann direkt eine Anfechtungsklage </w:t>
      </w:r>
      <w:r w:rsidR="00635E12">
        <w:rPr>
          <w:i/>
        </w:rPr>
        <w:t xml:space="preserve">gegen belastende Verwaltungsakte </w:t>
      </w:r>
      <w:r>
        <w:rPr>
          <w:i/>
        </w:rPr>
        <w:t>vor dem Verwaltungsgericht möglich. Ob und in welchen Fällen die Bundesländer von der Möglichkeit Gebrauch gemacht haben, das Widerspruchsverfahren abzuschaffen, ist in den sog. Ausführungsgesetzen der Bundesländer zur Verwaltungsgerichtsord</w:t>
      </w:r>
      <w:r w:rsidR="002D14FA">
        <w:rPr>
          <w:i/>
        </w:rPr>
        <w:t>nung (AGVwGO) oder in den entsprechenden Justizgesetzen der Bundesländer</w:t>
      </w:r>
      <w:r>
        <w:rPr>
          <w:i/>
        </w:rPr>
        <w:t>gere</w:t>
      </w:r>
      <w:r w:rsidR="009C2234">
        <w:rPr>
          <w:i/>
        </w:rPr>
        <w:t xml:space="preserve">gelt). </w:t>
      </w:r>
    </w:p>
    <w:p w14:paraId="73F4AAFD" w14:textId="67BA8AC2" w:rsidR="009C2234" w:rsidRPr="009C2234" w:rsidRDefault="009C2234" w:rsidP="009C2234">
      <w:pPr>
        <w:pStyle w:val="Textkrper"/>
        <w:spacing w:before="120" w:after="120"/>
        <w:jc w:val="both"/>
        <w:rPr>
          <w:i/>
        </w:rPr>
      </w:pPr>
      <w:r w:rsidRPr="009C2234">
        <w:rPr>
          <w:i/>
        </w:rPr>
        <w:t xml:space="preserve">Der Widerspruch ist binnen eines Monats nach Bekanntgabe </w:t>
      </w:r>
      <w:r w:rsidR="002D14FA">
        <w:rPr>
          <w:i/>
        </w:rPr>
        <w:t>(</w:t>
      </w:r>
      <w:r w:rsidRPr="009C2234">
        <w:rPr>
          <w:i/>
        </w:rPr>
        <w:t>Zugang</w:t>
      </w:r>
      <w:r w:rsidR="002D14FA">
        <w:rPr>
          <w:i/>
        </w:rPr>
        <w:t>)</w:t>
      </w:r>
      <w:r w:rsidRPr="009C2234">
        <w:rPr>
          <w:i/>
        </w:rPr>
        <w:t xml:space="preserve"> des Bescheides ein</w:t>
      </w:r>
      <w:r w:rsidR="002D14FA">
        <w:rPr>
          <w:i/>
        </w:rPr>
        <w:t>zulegen. Wenn der B</w:t>
      </w:r>
      <w:r w:rsidRPr="009C2234">
        <w:rPr>
          <w:i/>
        </w:rPr>
        <w:t>escheid keine Rechtsbehelfsbelehrung aufweist, beträgt die Widerspruchsfrist sogar ein Jahr.</w:t>
      </w:r>
    </w:p>
    <w:p w14:paraId="0C50AE97" w14:textId="77777777" w:rsidR="009C2234" w:rsidRDefault="009C2234" w:rsidP="009C2234">
      <w:pPr>
        <w:pStyle w:val="Textkrper"/>
        <w:spacing w:before="120" w:after="120"/>
        <w:jc w:val="both"/>
        <w:rPr>
          <w:i/>
        </w:rPr>
      </w:pPr>
      <w:r w:rsidRPr="009C2234">
        <w:rPr>
          <w:i/>
        </w:rPr>
        <w:t>Ein solcher Widerspruch hat im Regelfall aufschiebende Wirkung. Das heißt, die Behörde kann an den Bescheid zunächst keine belastenden Rechtsfolgen anknüpfen. Nach unserem Verständnis kann dann im Falle des Widerspruches gegen die „Aufforderung zur Vorlage eines Nachweises“ zunächst auch kein Bußgeldbescheid nach § 73 Abs. 1a</w:t>
      </w:r>
      <w:r>
        <w:rPr>
          <w:i/>
        </w:rPr>
        <w:t xml:space="preserve"> Ziff. 7c</w:t>
      </w:r>
      <w:r w:rsidRPr="009C2234">
        <w:rPr>
          <w:i/>
        </w:rPr>
        <w:t xml:space="preserve"> IfSG erlassen werden. </w:t>
      </w:r>
    </w:p>
    <w:p w14:paraId="0E4681F1" w14:textId="77777777" w:rsidR="009C2234" w:rsidRPr="009C2234" w:rsidRDefault="009C2234" w:rsidP="009C2234">
      <w:pPr>
        <w:pStyle w:val="Textkrper"/>
        <w:spacing w:before="120" w:after="120"/>
        <w:jc w:val="both"/>
        <w:rPr>
          <w:i/>
        </w:rPr>
      </w:pPr>
      <w:r w:rsidRPr="009C2234">
        <w:rPr>
          <w:i/>
        </w:rPr>
        <w:t xml:space="preserve">Es wäre aber auch nicht ganz überraschend, wenn die Behörden das anders auslegen und dennoch Bußgeldbescheide erlassen. Die Rechtsqualität der Maßnahmen wäre dann z.B. im Einspruchsverfahren gegen den Bußgeldbescheid zu klären. Ggf. könnte das Gesundheitsamt auch zusätzlich die sofortige Vollziehung der Maßnahmen anordnen und damit </w:t>
      </w:r>
      <w:r w:rsidRPr="009C2234">
        <w:rPr>
          <w:i/>
        </w:rPr>
        <w:lastRenderedPageBreak/>
        <w:t>die aufschiebende Wirkung des Widerspruches aufheben. Die Zulässigkeit einer solchen Anordnung der sofortigen Vollziehung ist wiederum selbst gerichtlich überprüfbar.</w:t>
      </w:r>
    </w:p>
    <w:p w14:paraId="41F3BF09" w14:textId="77777777" w:rsidR="009C2234" w:rsidRDefault="009C2234" w:rsidP="00425837">
      <w:pPr>
        <w:pStyle w:val="Textkrper"/>
        <w:spacing w:before="120" w:after="120"/>
        <w:jc w:val="both"/>
        <w:rPr>
          <w:i/>
        </w:rPr>
      </w:pPr>
      <w:r w:rsidRPr="009C2234">
        <w:rPr>
          <w:i/>
        </w:rPr>
        <w:t xml:space="preserve">Zwar enthält das IfSG in § 20 Abs. 12 IfSG letzter Satz eine Regelung, dass Widerspruch und Klage keine aufschiebende Wirkung entfalten. Diese Regelung betrifft dort jedoch </w:t>
      </w:r>
      <w:r>
        <w:rPr>
          <w:i/>
        </w:rPr>
        <w:t xml:space="preserve">dem Wortlaut nach </w:t>
      </w:r>
      <w:r w:rsidRPr="009C2234">
        <w:rPr>
          <w:i/>
        </w:rPr>
        <w:t>nur die Fälle angeordneter Betretungsverbote. Bei Widersprüchen gegen andere belastende Maßnahmen (z.B. „Aufforderung“, „Ladung zur Beratung“) verbleibt es somit im Umkehrschluss bei dem Grund</w:t>
      </w:r>
      <w:r>
        <w:rPr>
          <w:i/>
        </w:rPr>
        <w:t xml:space="preserve">satz der aufschiebenden Wirkung des Widerspruches. </w:t>
      </w:r>
    </w:p>
    <w:p w14:paraId="3EF496DC" w14:textId="5EF6FCC3" w:rsidR="00425837" w:rsidRPr="00425837" w:rsidRDefault="00425837" w:rsidP="00425837">
      <w:pPr>
        <w:pStyle w:val="Textkrper"/>
        <w:spacing w:before="120" w:after="120"/>
        <w:jc w:val="both"/>
        <w:rPr>
          <w:i/>
        </w:rPr>
      </w:pPr>
      <w:r w:rsidRPr="00425837">
        <w:rPr>
          <w:i/>
        </w:rPr>
        <w:t xml:space="preserve">Beachten Sie bitte, dass ein Widerspruch </w:t>
      </w:r>
      <w:r w:rsidR="002D14FA">
        <w:rPr>
          <w:i/>
        </w:rPr>
        <w:t xml:space="preserve">in der Regel </w:t>
      </w:r>
      <w:r w:rsidRPr="00425837">
        <w:rPr>
          <w:i/>
        </w:rPr>
        <w:t xml:space="preserve">schriftlich (d.h. </w:t>
      </w:r>
      <w:r w:rsidR="00635E12">
        <w:rPr>
          <w:i/>
        </w:rPr>
        <w:t xml:space="preserve">vom Unterzeichner </w:t>
      </w:r>
      <w:r w:rsidR="00B72192">
        <w:rPr>
          <w:i/>
        </w:rPr>
        <w:t>unterschrieben</w:t>
      </w:r>
      <w:r w:rsidRPr="00425837">
        <w:rPr>
          <w:i/>
        </w:rPr>
        <w:t>er Bri</w:t>
      </w:r>
      <w:r>
        <w:rPr>
          <w:i/>
        </w:rPr>
        <w:t>ef</w:t>
      </w:r>
      <w:r w:rsidR="00B72192">
        <w:rPr>
          <w:i/>
        </w:rPr>
        <w:t xml:space="preserve"> per Post oder per Telefax</w:t>
      </w:r>
      <w:r>
        <w:rPr>
          <w:i/>
        </w:rPr>
        <w:t xml:space="preserve">) eingelegt werden muss. Die </w:t>
      </w:r>
      <w:r w:rsidR="002D14FA">
        <w:rPr>
          <w:i/>
        </w:rPr>
        <w:t xml:space="preserve">einfache </w:t>
      </w:r>
      <w:proofErr w:type="spellStart"/>
      <w:r>
        <w:rPr>
          <w:i/>
        </w:rPr>
        <w:t>e</w:t>
      </w:r>
      <w:r w:rsidRPr="00425837">
        <w:rPr>
          <w:i/>
        </w:rPr>
        <w:t>-mail</w:t>
      </w:r>
      <w:proofErr w:type="spellEnd"/>
      <w:r w:rsidRPr="00425837">
        <w:rPr>
          <w:i/>
        </w:rPr>
        <w:t xml:space="preserve"> genügt die</w:t>
      </w:r>
      <w:r w:rsidR="002D14FA">
        <w:rPr>
          <w:i/>
        </w:rPr>
        <w:t xml:space="preserve">ser Form </w:t>
      </w:r>
      <w:r w:rsidRPr="00425837">
        <w:rPr>
          <w:i/>
        </w:rPr>
        <w:t>nicht.</w:t>
      </w:r>
    </w:p>
    <w:p w14:paraId="484C408D" w14:textId="77777777" w:rsidR="00425837" w:rsidRDefault="00425837" w:rsidP="008D6807">
      <w:pPr>
        <w:pStyle w:val="Textkrper"/>
      </w:pPr>
    </w:p>
    <w:p w14:paraId="305537C4" w14:textId="77777777" w:rsidR="009467F3" w:rsidRPr="00425837" w:rsidRDefault="00425837" w:rsidP="008D6807">
      <w:pPr>
        <w:pStyle w:val="Textkrper"/>
        <w:rPr>
          <w:b/>
          <w:sz w:val="24"/>
          <w:szCs w:val="24"/>
          <w:u w:val="single"/>
        </w:rPr>
      </w:pPr>
      <w:r w:rsidRPr="00425837">
        <w:rPr>
          <w:b/>
          <w:sz w:val="24"/>
          <w:szCs w:val="24"/>
          <w:u w:val="single"/>
        </w:rPr>
        <w:t xml:space="preserve">Text Muster-Widerspruch: </w:t>
      </w:r>
    </w:p>
    <w:p w14:paraId="50492C2D" w14:textId="77777777" w:rsidR="009467F3" w:rsidRDefault="00635E12" w:rsidP="00743EE9">
      <w:pPr>
        <w:pStyle w:val="Anrede"/>
      </w:pPr>
      <w:r>
        <w:t>„</w:t>
      </w:r>
      <w:r w:rsidR="00743EE9">
        <w:t xml:space="preserve">Gegen Ihr Schreiben vom </w:t>
      </w:r>
      <w:r w:rsidR="00743EE9" w:rsidRPr="00E100AA">
        <w:rPr>
          <w:highlight w:val="yellow"/>
        </w:rPr>
        <w:t>……</w:t>
      </w:r>
      <w:r w:rsidR="00743EE9">
        <w:t xml:space="preserve"> legen wir </w:t>
      </w:r>
      <w:r w:rsidR="00A409D1">
        <w:t xml:space="preserve">hiermit </w:t>
      </w:r>
      <w:r w:rsidR="00743EE9">
        <w:t xml:space="preserve">im eigenen Namen als Eltern wie auch im Namen unseres Kindes als </w:t>
      </w:r>
      <w:r w:rsidR="00A9492D">
        <w:t xml:space="preserve">vertretungsberechtigte </w:t>
      </w:r>
      <w:r w:rsidR="00743EE9">
        <w:t>sorgeberechtigte Eltern</w:t>
      </w:r>
    </w:p>
    <w:p w14:paraId="22308940" w14:textId="77777777" w:rsidR="009467F3" w:rsidRPr="00C361EB" w:rsidRDefault="009467F3" w:rsidP="009467F3">
      <w:pPr>
        <w:pStyle w:val="Textkrper"/>
        <w:spacing w:line="240" w:lineRule="auto"/>
        <w:jc w:val="center"/>
        <w:rPr>
          <w:b/>
        </w:rPr>
      </w:pPr>
      <w:r w:rsidRPr="00C361EB">
        <w:rPr>
          <w:b/>
        </w:rPr>
        <w:t xml:space="preserve">Widerspruch </w:t>
      </w:r>
    </w:p>
    <w:p w14:paraId="3B0E19FE" w14:textId="77777777" w:rsidR="009467F3" w:rsidRDefault="009467F3" w:rsidP="009467F3">
      <w:pPr>
        <w:pStyle w:val="Textkrper"/>
        <w:jc w:val="both"/>
      </w:pPr>
      <w:r>
        <w:t>ein.</w:t>
      </w:r>
    </w:p>
    <w:p w14:paraId="2707F287" w14:textId="71CEB11B" w:rsidR="009467F3" w:rsidRDefault="009467F3" w:rsidP="009467F3">
      <w:pPr>
        <w:pStyle w:val="Textkrper"/>
        <w:jc w:val="both"/>
      </w:pPr>
      <w:r>
        <w:t xml:space="preserve">Der Bescheid ist rechtswidrig und verletzt sowohl </w:t>
      </w:r>
      <w:r w:rsidR="00743EE9">
        <w:t xml:space="preserve">uns als </w:t>
      </w:r>
      <w:r>
        <w:t xml:space="preserve">Eltern </w:t>
      </w:r>
      <w:r w:rsidR="00A409D1" w:rsidRPr="00A409D1">
        <w:t>in u</w:t>
      </w:r>
      <w:r w:rsidR="00635E12">
        <w:t>nseren</w:t>
      </w:r>
      <w:r w:rsidR="00A409D1">
        <w:t xml:space="preserve"> Elternrechten </w:t>
      </w:r>
      <w:r w:rsidR="00635E12">
        <w:t xml:space="preserve">(Art. 6 Abs. 2 GG) </w:t>
      </w:r>
      <w:r>
        <w:t xml:space="preserve">als auch </w:t>
      </w:r>
      <w:r w:rsidR="00743EE9">
        <w:t xml:space="preserve">unser Kind in </w:t>
      </w:r>
      <w:r w:rsidR="00A409D1">
        <w:t xml:space="preserve">seinen </w:t>
      </w:r>
      <w:r w:rsidR="00635E12">
        <w:t>Rechten (z.</w:t>
      </w:r>
      <w:r w:rsidR="00E100AA">
        <w:t xml:space="preserve"> B. Art. 2 Abs. 2 GG). </w:t>
      </w:r>
    </w:p>
    <w:p w14:paraId="76EFE2EE" w14:textId="77777777" w:rsidR="009467F3" w:rsidRDefault="00743EE9" w:rsidP="009467F3">
      <w:pPr>
        <w:pStyle w:val="Textkrper"/>
        <w:jc w:val="both"/>
      </w:pPr>
      <w:r>
        <w:t>Nach unserer Überzeugung sind</w:t>
      </w:r>
      <w:r w:rsidR="009467F3">
        <w:t xml:space="preserve"> </w:t>
      </w:r>
      <w:r>
        <w:t xml:space="preserve">die </w:t>
      </w:r>
      <w:r w:rsidR="009467F3">
        <w:t>Bestimmungen des Infektionsschutzgesetzes rechtswidrig und verfassungswidrig, sofern sie durch das sog. „Masernschutzgesetz“ eine Impfpfl</w:t>
      </w:r>
      <w:r w:rsidR="00295D37">
        <w:t>icht und entsprechende Nachweispflichten</w:t>
      </w:r>
      <w:r w:rsidR="009467F3">
        <w:t xml:space="preserve"> begründen, insbesondere § 20 Abs. 8 – 13 IfSG. </w:t>
      </w:r>
    </w:p>
    <w:p w14:paraId="2DF51E53" w14:textId="644A22C4" w:rsidR="00E100AA" w:rsidRDefault="00E100AA" w:rsidP="009467F3">
      <w:pPr>
        <w:pStyle w:val="Textkrper"/>
        <w:jc w:val="both"/>
      </w:pPr>
      <w:r w:rsidRPr="00E100AA">
        <w:t>Das Masernschutzgesetz schafft eine „Impfpflicht“ (der Begriff wird in der Gesetzesbegründung verwendet). Die Impfpflicht ist in mehrfacher Hinsicht verfassungswidrig. Verletzt werden insbeso</w:t>
      </w:r>
      <w:r>
        <w:t>ndere das Grundrecht auf körper</w:t>
      </w:r>
      <w:r w:rsidRPr="00E100AA">
        <w:t>liche Unversehrtheit (Art. 2 Abs. 2 Satz 1 GG) der Kinder, das grundrechtlich geschützte Elternrecht (Art. 6 Abs. 2 Satz 1 GG) sowie die Gleichheitsrechte von Kindern und Eltern (Art. 3 Abs. 1 GG). Verletzt werden ferner die Berufsfreiheit von Ärztinnen und Ärzten (Art. 12 Abs. 1 GG) sowie deren Gleichheitsrechte (Art. 3 Abs. 1 GG)</w:t>
      </w:r>
      <w:r>
        <w:t xml:space="preserve">. </w:t>
      </w:r>
    </w:p>
    <w:p w14:paraId="6BE1C602" w14:textId="33A03E42" w:rsidR="009467F3" w:rsidRDefault="00CF6311" w:rsidP="009467F3">
      <w:pPr>
        <w:pStyle w:val="Textkrper"/>
        <w:jc w:val="both"/>
      </w:pPr>
      <w:r>
        <w:t xml:space="preserve">Zur </w:t>
      </w:r>
      <w:r w:rsidR="00E100AA">
        <w:t xml:space="preserve">näheren </w:t>
      </w:r>
      <w:r>
        <w:t>Begründung des Widerspruches n</w:t>
      </w:r>
      <w:r w:rsidR="009467F3">
        <w:t xml:space="preserve">ehmen </w:t>
      </w:r>
      <w:r>
        <w:t xml:space="preserve">wir </w:t>
      </w:r>
      <w:r w:rsidR="009467F3">
        <w:t>Bezug auf vier Verfassungsbes</w:t>
      </w:r>
      <w:r w:rsidR="00EE5149">
        <w:t>chwerden von Eltern, eine Verfassungsbeschwerde</w:t>
      </w:r>
      <w:r w:rsidR="009467F3">
        <w:t xml:space="preserve"> </w:t>
      </w:r>
      <w:r w:rsidR="00EE5149">
        <w:t>einer Ärztin und auf eine Verfas</w:t>
      </w:r>
      <w:r w:rsidR="00EE5149">
        <w:lastRenderedPageBreak/>
        <w:t xml:space="preserve">sungsbeschwerde einer pädagogischen Fachkraft </w:t>
      </w:r>
      <w:r>
        <w:t>gegen das Masernschutzgesetz</w:t>
      </w:r>
      <w:r w:rsidR="009467F3">
        <w:t xml:space="preserve">, die </w:t>
      </w:r>
      <w:r w:rsidR="00EE5149">
        <w:t xml:space="preserve">weiterhin </w:t>
      </w:r>
      <w:r w:rsidR="009467F3">
        <w:t>vor dem Bundesverfassungsgericht unter den Aktenzeichen</w:t>
      </w:r>
    </w:p>
    <w:p w14:paraId="4F763D2D" w14:textId="77777777" w:rsidR="009467F3" w:rsidRDefault="009467F3" w:rsidP="00ED799A">
      <w:pPr>
        <w:pStyle w:val="Textkrper"/>
        <w:numPr>
          <w:ilvl w:val="0"/>
          <w:numId w:val="11"/>
        </w:numPr>
        <w:spacing w:line="240" w:lineRule="auto"/>
        <w:ind w:left="714" w:hanging="357"/>
        <w:jc w:val="both"/>
      </w:pPr>
      <w:r>
        <w:t>BVerfG 1 BvR 469/20</w:t>
      </w:r>
    </w:p>
    <w:p w14:paraId="0615CA55" w14:textId="77777777" w:rsidR="009467F3" w:rsidRPr="006F5A0B" w:rsidRDefault="009467F3" w:rsidP="00ED799A">
      <w:pPr>
        <w:pStyle w:val="Textkrper"/>
        <w:numPr>
          <w:ilvl w:val="0"/>
          <w:numId w:val="11"/>
        </w:numPr>
        <w:spacing w:line="240" w:lineRule="auto"/>
        <w:ind w:left="714" w:hanging="357"/>
      </w:pPr>
      <w:r w:rsidRPr="006F5A0B">
        <w:t>BVerfG 1 BvR</w:t>
      </w:r>
      <w:r>
        <w:t xml:space="preserve"> 470/20</w:t>
      </w:r>
    </w:p>
    <w:p w14:paraId="0CFFD056" w14:textId="77777777" w:rsidR="009467F3" w:rsidRDefault="009467F3" w:rsidP="00ED799A">
      <w:pPr>
        <w:pStyle w:val="Textkrper"/>
        <w:numPr>
          <w:ilvl w:val="0"/>
          <w:numId w:val="11"/>
        </w:numPr>
        <w:spacing w:line="240" w:lineRule="auto"/>
        <w:ind w:left="714" w:hanging="357"/>
      </w:pPr>
      <w:r w:rsidRPr="006F5A0B">
        <w:t>BVerfG 1 BvR</w:t>
      </w:r>
      <w:r>
        <w:t xml:space="preserve"> 471/20</w:t>
      </w:r>
    </w:p>
    <w:p w14:paraId="4CE82239" w14:textId="77777777" w:rsidR="009467F3" w:rsidRPr="006F5A0B" w:rsidRDefault="009467F3" w:rsidP="00ED799A">
      <w:pPr>
        <w:pStyle w:val="Textkrper"/>
        <w:numPr>
          <w:ilvl w:val="0"/>
          <w:numId w:val="11"/>
        </w:numPr>
        <w:spacing w:line="240" w:lineRule="auto"/>
        <w:ind w:left="714" w:hanging="357"/>
      </w:pPr>
      <w:r w:rsidRPr="006F5A0B">
        <w:t>BVerfG 1 BvR</w:t>
      </w:r>
      <w:r>
        <w:t xml:space="preserve"> 472/20</w:t>
      </w:r>
    </w:p>
    <w:p w14:paraId="0075BA48" w14:textId="77777777" w:rsidR="009467F3" w:rsidRDefault="009467F3" w:rsidP="00ED799A">
      <w:pPr>
        <w:pStyle w:val="Textkrper"/>
        <w:numPr>
          <w:ilvl w:val="0"/>
          <w:numId w:val="11"/>
        </w:numPr>
        <w:spacing w:line="240" w:lineRule="auto"/>
        <w:ind w:left="714" w:hanging="357"/>
      </w:pPr>
      <w:r w:rsidRPr="006F5A0B">
        <w:t>BVerfG 1 BvR</w:t>
      </w:r>
      <w:r>
        <w:t xml:space="preserve"> 588/20</w:t>
      </w:r>
    </w:p>
    <w:p w14:paraId="3D48E10D" w14:textId="35875740" w:rsidR="00EE5149" w:rsidRPr="006F5A0B" w:rsidRDefault="00EE5149" w:rsidP="00EE5149">
      <w:pPr>
        <w:pStyle w:val="Textkrper"/>
        <w:numPr>
          <w:ilvl w:val="0"/>
          <w:numId w:val="11"/>
        </w:numPr>
        <w:spacing w:line="240" w:lineRule="auto"/>
      </w:pPr>
      <w:r>
        <w:t>BVerfG 1 BvR 438/21</w:t>
      </w:r>
    </w:p>
    <w:p w14:paraId="78BAF107" w14:textId="77777777" w:rsidR="009467F3" w:rsidRDefault="009467F3" w:rsidP="009467F3">
      <w:pPr>
        <w:pStyle w:val="Textkrper"/>
        <w:jc w:val="both"/>
      </w:pPr>
      <w:r>
        <w:t xml:space="preserve">anhängig sind und die Frage der Verfassungsmäßigkeit dieser Bestimmungen zum Gegenstand haben.  </w:t>
      </w:r>
    </w:p>
    <w:p w14:paraId="36BD843E" w14:textId="77777777" w:rsidR="00ED799A" w:rsidRDefault="00A409D1" w:rsidP="009467F3">
      <w:pPr>
        <w:pStyle w:val="Textkrper"/>
        <w:jc w:val="both"/>
      </w:pPr>
      <w:r>
        <w:t xml:space="preserve">Wir </w:t>
      </w:r>
      <w:r w:rsidR="00CF6311">
        <w:t xml:space="preserve">verweisen dazu auch </w:t>
      </w:r>
      <w:r>
        <w:t xml:space="preserve">auf das verfassungsrechtliche Gutachten von Prof. Stephan Rixen </w:t>
      </w:r>
      <w:r w:rsidR="00967974">
        <w:t>„</w:t>
      </w:r>
      <w:r w:rsidR="00967974" w:rsidRPr="00967974">
        <w:t>Verfassungsfragen der Masernimpfpflicht: Ist die Impfpflicht nach dem geplanten Masernschutzgesetz verfassungswidrig?</w:t>
      </w:r>
      <w:r w:rsidR="00967974">
        <w:t xml:space="preserve">“ vom 11.10.2019, </w:t>
      </w:r>
    </w:p>
    <w:p w14:paraId="1F870B2D" w14:textId="77777777" w:rsidR="00A409D1" w:rsidRDefault="00ED799A" w:rsidP="009467F3">
      <w:pPr>
        <w:pStyle w:val="Textkrper"/>
        <w:jc w:val="both"/>
      </w:pPr>
      <w:r>
        <w:t xml:space="preserve">Zusammenfassung </w:t>
      </w:r>
      <w:r w:rsidR="00967974">
        <w:t xml:space="preserve">abrufbar unter: </w:t>
      </w:r>
    </w:p>
    <w:p w14:paraId="1AC49039" w14:textId="20F30FF4" w:rsidR="00A409D1" w:rsidRDefault="00DC3825" w:rsidP="009467F3">
      <w:pPr>
        <w:pStyle w:val="Textkrper"/>
        <w:jc w:val="both"/>
      </w:pPr>
      <w:hyperlink r:id="rId8" w:history="1">
        <w:r w:rsidR="00EE5149" w:rsidRPr="00902E68">
          <w:rPr>
            <w:rStyle w:val="Hyperlink"/>
          </w:rPr>
          <w:t>https://individuelle-impfentscheidung.de/fileadmin/Downloads/Rechtsgutachten_Rixen_2_Seiten.pdf</w:t>
        </w:r>
      </w:hyperlink>
      <w:hyperlink r:id="rId9" w:history="1"/>
    </w:p>
    <w:p w14:paraId="01DD8A24" w14:textId="77777777" w:rsidR="00967974" w:rsidRDefault="00CF6311" w:rsidP="009467F3">
      <w:pPr>
        <w:pStyle w:val="Textkrper"/>
        <w:jc w:val="both"/>
      </w:pPr>
      <w:r>
        <w:t xml:space="preserve">und im </w:t>
      </w:r>
      <w:r w:rsidR="00ED799A">
        <w:t xml:space="preserve">Volltext abrufbar unter: </w:t>
      </w:r>
    </w:p>
    <w:p w14:paraId="7CAF802D" w14:textId="4F8029A4" w:rsidR="00EE5149" w:rsidRDefault="00DC3825" w:rsidP="009467F3">
      <w:pPr>
        <w:pStyle w:val="Textkrper"/>
        <w:jc w:val="both"/>
      </w:pPr>
      <w:hyperlink r:id="rId10" w:history="1">
        <w:r w:rsidR="00EE5149" w:rsidRPr="00902E68">
          <w:rPr>
            <w:rStyle w:val="Hyperlink"/>
          </w:rPr>
          <w:t>https://individuelle-impfentscheidung.de/fileadmin/Downloads/Rechtsgutachten_Rixen_Langfassung.pdf</w:t>
        </w:r>
      </w:hyperlink>
    </w:p>
    <w:p w14:paraId="4ABD2783" w14:textId="77777777" w:rsidR="00EE5149" w:rsidRDefault="00EE5149" w:rsidP="009467F3">
      <w:pPr>
        <w:pStyle w:val="Textkrper"/>
        <w:jc w:val="both"/>
      </w:pPr>
    </w:p>
    <w:p w14:paraId="1BF88CAF" w14:textId="77777777" w:rsidR="00347CE4" w:rsidRDefault="00347CE4" w:rsidP="009467F3">
      <w:pPr>
        <w:pStyle w:val="Textkrper"/>
        <w:jc w:val="both"/>
      </w:pPr>
      <w:r>
        <w:t xml:space="preserve">Dieses </w:t>
      </w:r>
      <w:r w:rsidR="00CF6311">
        <w:t xml:space="preserve">verfassungsrechtliche </w:t>
      </w:r>
      <w:r>
        <w:t xml:space="preserve">Gutachten ist – angepasst an die Fassung des beschlossenen Gesetzestextes - auch wesentliche Grundlage der o.g. </w:t>
      </w:r>
      <w:r w:rsidR="00CF6311">
        <w:t xml:space="preserve">anhängigen </w:t>
      </w:r>
      <w:r>
        <w:t xml:space="preserve">Verfassungsbeschwerden. </w:t>
      </w:r>
    </w:p>
    <w:p w14:paraId="2939E693" w14:textId="77777777" w:rsidR="00347CE4" w:rsidRDefault="00347CE4" w:rsidP="009467F3">
      <w:pPr>
        <w:pStyle w:val="Textkrper"/>
        <w:jc w:val="both"/>
      </w:pPr>
      <w:r>
        <w:t>Das Bundesverfassungsgericht hatte zwar mit Beschluss vom 11.05.2020 Eilanträge auf einstweiliges Aussetzen des Masernschutzgesetzes abgewiesen. Es hat in dem Beschluss aber gleichzeitig erklärt:</w:t>
      </w:r>
    </w:p>
    <w:p w14:paraId="2D4F5671" w14:textId="77777777" w:rsidR="00967974" w:rsidRPr="00347CE4" w:rsidRDefault="00347CE4" w:rsidP="009467F3">
      <w:pPr>
        <w:pStyle w:val="Textkrper"/>
        <w:jc w:val="both"/>
        <w:rPr>
          <w:i/>
        </w:rPr>
      </w:pPr>
      <w:r w:rsidRPr="00347CE4">
        <w:rPr>
          <w:i/>
        </w:rPr>
        <w:t>„Die Verfassungsbeschwerde ist zumindest nicht von vornherein unzulässig oder offensichtlich unbegründet. Dies bedarf einer eingehenden Prüfung, die im Rahmen eines Eilverfahrens nicht möglich ist.</w:t>
      </w:r>
      <w:r>
        <w:rPr>
          <w:i/>
        </w:rPr>
        <w:t>“ (</w:t>
      </w:r>
      <w:r w:rsidRPr="00347CE4">
        <w:rPr>
          <w:i/>
        </w:rPr>
        <w:t xml:space="preserve">Beschluss </w:t>
      </w:r>
      <w:r>
        <w:rPr>
          <w:i/>
        </w:rPr>
        <w:t xml:space="preserve">des Bundesverfassungsgerichts </w:t>
      </w:r>
      <w:r w:rsidRPr="00347CE4">
        <w:rPr>
          <w:i/>
        </w:rPr>
        <w:t>vom 11. Mai 2020 - 1 BvR 469/20</w:t>
      </w:r>
      <w:r>
        <w:rPr>
          <w:i/>
        </w:rPr>
        <w:t>)</w:t>
      </w:r>
    </w:p>
    <w:p w14:paraId="57B3FA00" w14:textId="77777777" w:rsidR="00347CE4" w:rsidRDefault="00DC3825" w:rsidP="009467F3">
      <w:pPr>
        <w:pStyle w:val="Textkrper"/>
        <w:jc w:val="both"/>
      </w:pPr>
      <w:hyperlink r:id="rId11" w:history="1">
        <w:r w:rsidR="00347CE4" w:rsidRPr="00EC4C8A">
          <w:rPr>
            <w:rStyle w:val="Hyperlink"/>
          </w:rPr>
          <w:t>https://www.bundesverfassungsgericht.de/SharedDocs/Entscheidungen/DE/2020/05/rk20200511_1bvr046920.html;jsessionid=61C9EF89BA32304A9EF0FFFCD9DCE6ED.2_cid377</w:t>
        </w:r>
      </w:hyperlink>
    </w:p>
    <w:p w14:paraId="2E8AC0BF" w14:textId="77777777" w:rsidR="009467F3" w:rsidRDefault="009467F3" w:rsidP="009467F3">
      <w:pPr>
        <w:pStyle w:val="Textkrper"/>
        <w:jc w:val="both"/>
      </w:pPr>
      <w:r>
        <w:lastRenderedPageBreak/>
        <w:t xml:space="preserve">Insoweit regen wir an, vor Verhängung weiterer Maßnahmen zunächst den Ausgang der o.g. Verfahren vor dem Bundesverfassungsgericht zur Frage der Verfassungsmäßigkeit der neuen Vorschriften des Masernschutzgesetzes abzuwarten. </w:t>
      </w:r>
    </w:p>
    <w:p w14:paraId="1C1124B3" w14:textId="77777777" w:rsidR="009467F3" w:rsidRDefault="009467F3" w:rsidP="009467F3">
      <w:pPr>
        <w:pStyle w:val="Textkrper"/>
        <w:jc w:val="both"/>
      </w:pPr>
      <w:r>
        <w:t>Wir gehen davon aus, dass dieser Widerspruch bezüglich der Anordnungen des angefochtenen Bescheides a</w:t>
      </w:r>
      <w:r w:rsidR="00A409D1">
        <w:t>u</w:t>
      </w:r>
      <w:r w:rsidR="00347CE4">
        <w:t>fschiebende Wirkung entfaltet. Das betrifft somit</w:t>
      </w:r>
      <w:r w:rsidR="00A409D1">
        <w:t xml:space="preserve"> auch die </w:t>
      </w:r>
      <w:r w:rsidR="00347CE4">
        <w:t xml:space="preserve">Aufforderung und die </w:t>
      </w:r>
      <w:r w:rsidR="00A409D1">
        <w:t>Fristset</w:t>
      </w:r>
      <w:r w:rsidR="00347CE4">
        <w:t>zu</w:t>
      </w:r>
      <w:r w:rsidR="00ED799A">
        <w:t>ng zur Vorlage der Nachweise zum ausreichenden</w:t>
      </w:r>
      <w:r w:rsidR="00347CE4">
        <w:t xml:space="preserve"> Masernschutz. </w:t>
      </w:r>
    </w:p>
    <w:p w14:paraId="58B99B2D" w14:textId="77777777" w:rsidR="009C2234" w:rsidRDefault="009467F3" w:rsidP="009467F3">
      <w:pPr>
        <w:pStyle w:val="Textkrper"/>
        <w:pBdr>
          <w:bottom w:val="single" w:sz="12" w:space="1" w:color="auto"/>
        </w:pBdr>
        <w:jc w:val="both"/>
      </w:pPr>
      <w:r>
        <w:t xml:space="preserve">Soweit </w:t>
      </w:r>
      <w:r w:rsidR="00ED799A">
        <w:t>§ 20 Abs. 12 letzter Satz IfSG die Bestimmung enthält, nach der</w:t>
      </w:r>
      <w:r>
        <w:t xml:space="preserve"> Widerspruch </w:t>
      </w:r>
      <w:r w:rsidR="00ED799A">
        <w:t xml:space="preserve">und Klage </w:t>
      </w:r>
      <w:r>
        <w:t>keine aufschiebende Wir</w:t>
      </w:r>
      <w:r w:rsidR="00ED799A">
        <w:t>kung entfalten</w:t>
      </w:r>
      <w:r>
        <w:t xml:space="preserve">, betrifft dies </w:t>
      </w:r>
      <w:r w:rsidR="00ED799A">
        <w:t xml:space="preserve">nur </w:t>
      </w:r>
      <w:r>
        <w:t>andere, hier nicht vorliegende Konstellatio</w:t>
      </w:r>
      <w:r w:rsidR="00ED799A">
        <w:t xml:space="preserve">nen (behördliche Betretungsverbote). </w:t>
      </w:r>
    </w:p>
    <w:p w14:paraId="6382F75F" w14:textId="77777777" w:rsidR="009C2234" w:rsidRDefault="009C2234" w:rsidP="009467F3">
      <w:pPr>
        <w:pStyle w:val="Textkrper"/>
        <w:pBdr>
          <w:bottom w:val="single" w:sz="12" w:space="1" w:color="auto"/>
        </w:pBdr>
        <w:jc w:val="both"/>
      </w:pPr>
      <w:r>
        <w:t>(Unterschriften)“</w:t>
      </w:r>
    </w:p>
    <w:p w14:paraId="3258D22D" w14:textId="77777777" w:rsidR="005276CF" w:rsidRDefault="005276CF" w:rsidP="009467F3">
      <w:pPr>
        <w:pStyle w:val="Textkrper"/>
        <w:pBdr>
          <w:bottom w:val="single" w:sz="12" w:space="1" w:color="auto"/>
        </w:pBdr>
        <w:jc w:val="both"/>
      </w:pPr>
    </w:p>
    <w:p w14:paraId="1483D9F3" w14:textId="77777777" w:rsidR="009C2234" w:rsidRDefault="009C2234" w:rsidP="009467F3">
      <w:pPr>
        <w:pStyle w:val="Textkrper"/>
        <w:pBdr>
          <w:bottom w:val="single" w:sz="12" w:space="1" w:color="auto"/>
        </w:pBdr>
        <w:jc w:val="both"/>
      </w:pPr>
    </w:p>
    <w:sectPr w:rsidR="009C2234" w:rsidSect="00565971">
      <w:footerReference w:type="default" r:id="rId12"/>
      <w:headerReference w:type="first" r:id="rId13"/>
      <w:pgSz w:w="11906" w:h="16838" w:code="9"/>
      <w:pgMar w:top="1418" w:right="1418" w:bottom="1134" w:left="1588" w:header="851" w:footer="54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83A4" w14:textId="77777777" w:rsidR="00F164F0" w:rsidRDefault="00F164F0">
      <w:r>
        <w:separator/>
      </w:r>
    </w:p>
    <w:p w14:paraId="462617AC" w14:textId="77777777" w:rsidR="00F164F0" w:rsidRDefault="00F164F0"/>
  </w:endnote>
  <w:endnote w:type="continuationSeparator" w:id="0">
    <w:p w14:paraId="127651CA" w14:textId="77777777" w:rsidR="00F164F0" w:rsidRDefault="00F164F0">
      <w:r>
        <w:continuationSeparator/>
      </w:r>
    </w:p>
    <w:p w14:paraId="602C6DCD" w14:textId="77777777" w:rsidR="00F164F0" w:rsidRDefault="00F16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6ECF" w14:textId="6B8B0722" w:rsidR="00641C3D" w:rsidRPr="00641C3D" w:rsidRDefault="00641C3D">
    <w:pPr>
      <w:pStyle w:val="Fuzeile"/>
      <w:jc w:val="right"/>
      <w:rPr>
        <w:sz w:val="20"/>
        <w:szCs w:val="20"/>
      </w:rPr>
    </w:pPr>
    <w:r w:rsidRPr="00641C3D">
      <w:rPr>
        <w:sz w:val="20"/>
        <w:szCs w:val="20"/>
      </w:rPr>
      <w:t xml:space="preserve">Seite </w:t>
    </w:r>
    <w:r w:rsidRPr="00641C3D">
      <w:rPr>
        <w:b/>
        <w:bCs/>
        <w:sz w:val="20"/>
        <w:szCs w:val="20"/>
      </w:rPr>
      <w:fldChar w:fldCharType="begin"/>
    </w:r>
    <w:r w:rsidRPr="00641C3D">
      <w:rPr>
        <w:b/>
        <w:bCs/>
        <w:sz w:val="20"/>
        <w:szCs w:val="20"/>
      </w:rPr>
      <w:instrText>PAGE</w:instrText>
    </w:r>
    <w:r w:rsidRPr="00641C3D">
      <w:rPr>
        <w:b/>
        <w:bCs/>
        <w:sz w:val="20"/>
        <w:szCs w:val="20"/>
      </w:rPr>
      <w:fldChar w:fldCharType="separate"/>
    </w:r>
    <w:r w:rsidR="00EE5149">
      <w:rPr>
        <w:b/>
        <w:bCs/>
        <w:noProof/>
        <w:sz w:val="20"/>
        <w:szCs w:val="20"/>
      </w:rPr>
      <w:t>2</w:t>
    </w:r>
    <w:r w:rsidRPr="00641C3D">
      <w:rPr>
        <w:b/>
        <w:bCs/>
        <w:sz w:val="20"/>
        <w:szCs w:val="20"/>
      </w:rPr>
      <w:fldChar w:fldCharType="end"/>
    </w:r>
    <w:r w:rsidRPr="00641C3D">
      <w:rPr>
        <w:sz w:val="20"/>
        <w:szCs w:val="20"/>
      </w:rPr>
      <w:t xml:space="preserve"> von </w:t>
    </w:r>
    <w:r w:rsidRPr="00641C3D">
      <w:rPr>
        <w:b/>
        <w:bCs/>
        <w:sz w:val="20"/>
        <w:szCs w:val="20"/>
      </w:rPr>
      <w:fldChar w:fldCharType="begin"/>
    </w:r>
    <w:r w:rsidRPr="00641C3D">
      <w:rPr>
        <w:b/>
        <w:bCs/>
        <w:sz w:val="20"/>
        <w:szCs w:val="20"/>
      </w:rPr>
      <w:instrText>NUMPAGES</w:instrText>
    </w:r>
    <w:r w:rsidRPr="00641C3D">
      <w:rPr>
        <w:b/>
        <w:bCs/>
        <w:sz w:val="20"/>
        <w:szCs w:val="20"/>
      </w:rPr>
      <w:fldChar w:fldCharType="separate"/>
    </w:r>
    <w:r w:rsidR="00EE5149">
      <w:rPr>
        <w:b/>
        <w:bCs/>
        <w:noProof/>
        <w:sz w:val="20"/>
        <w:szCs w:val="20"/>
      </w:rPr>
      <w:t>4</w:t>
    </w:r>
    <w:r w:rsidRPr="00641C3D">
      <w:rPr>
        <w:b/>
        <w:bCs/>
        <w:sz w:val="20"/>
        <w:szCs w:val="20"/>
      </w:rPr>
      <w:fldChar w:fldCharType="end"/>
    </w:r>
  </w:p>
  <w:p w14:paraId="5227DA48" w14:textId="77777777" w:rsidR="00641C3D" w:rsidRDefault="00641C3D">
    <w:pPr>
      <w:pStyle w:val="Fuzeile"/>
    </w:pPr>
  </w:p>
  <w:p w14:paraId="5DEDE940" w14:textId="77777777" w:rsidR="004F5525" w:rsidRDefault="004F5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4815" w14:textId="77777777" w:rsidR="00F164F0" w:rsidRDefault="00F164F0">
      <w:r>
        <w:separator/>
      </w:r>
    </w:p>
    <w:p w14:paraId="4F1F1A21" w14:textId="77777777" w:rsidR="00F164F0" w:rsidRDefault="00F164F0"/>
  </w:footnote>
  <w:footnote w:type="continuationSeparator" w:id="0">
    <w:p w14:paraId="1300818F" w14:textId="77777777" w:rsidR="00F164F0" w:rsidRDefault="00F164F0">
      <w:r>
        <w:continuationSeparator/>
      </w:r>
    </w:p>
    <w:p w14:paraId="1576FCEE" w14:textId="77777777" w:rsidR="00F164F0" w:rsidRDefault="00F164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22FE" w14:textId="77777777" w:rsidR="008E25F7" w:rsidRDefault="008E25F7" w:rsidP="00D52121">
    <w:pPr>
      <w:pStyle w:val="Kopfzeile"/>
      <w:tabs>
        <w:tab w:val="clear" w:pos="4536"/>
        <w:tab w:val="clear" w:pos="9072"/>
      </w:tabs>
      <w:jc w:val="center"/>
      <w:rPr>
        <w:sz w:val="28"/>
        <w:szCs w:val="28"/>
      </w:rPr>
    </w:pPr>
  </w:p>
  <w:p w14:paraId="1FCB25B2" w14:textId="77777777" w:rsidR="008E25F7" w:rsidRDefault="008E25F7" w:rsidP="00D52121">
    <w:pPr>
      <w:pStyle w:val="Kopfzeile"/>
      <w:tabs>
        <w:tab w:val="clear" w:pos="4536"/>
        <w:tab w:val="center" w:pos="4535"/>
        <w:tab w:val="left" w:pos="6331"/>
      </w:tabs>
      <w:spacing w:before="60"/>
      <w:jc w:val="cent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F843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060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8A4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C8ED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9039B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E18CD3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B64B9E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E9C13C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F2064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9833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82C2EAA"/>
    <w:multiLevelType w:val="hybridMultilevel"/>
    <w:tmpl w:val="CCC8B3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9878922">
    <w:abstractNumId w:val="9"/>
  </w:num>
  <w:num w:numId="2" w16cid:durableId="673071616">
    <w:abstractNumId w:val="7"/>
  </w:num>
  <w:num w:numId="3" w16cid:durableId="1025714921">
    <w:abstractNumId w:val="6"/>
  </w:num>
  <w:num w:numId="4" w16cid:durableId="1829592282">
    <w:abstractNumId w:val="5"/>
  </w:num>
  <w:num w:numId="5" w16cid:durableId="507523958">
    <w:abstractNumId w:val="4"/>
  </w:num>
  <w:num w:numId="6" w16cid:durableId="230819433">
    <w:abstractNumId w:val="8"/>
  </w:num>
  <w:num w:numId="7" w16cid:durableId="1253783267">
    <w:abstractNumId w:val="3"/>
  </w:num>
  <w:num w:numId="8" w16cid:durableId="926231036">
    <w:abstractNumId w:val="2"/>
  </w:num>
  <w:num w:numId="9" w16cid:durableId="661395528">
    <w:abstractNumId w:val="1"/>
  </w:num>
  <w:num w:numId="10" w16cid:durableId="2128156898">
    <w:abstractNumId w:val="0"/>
  </w:num>
  <w:num w:numId="11" w16cid:durableId="873620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22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enutzer»" w:val="me"/>
    <w:docVar w:name="adressat" w:val="1"/>
    <w:docVar w:name="AutomatischSpeichern" w:val="0"/>
    <w:docVar w:name="betnr" w:val="340"/>
    <w:docVar w:name="BezeichnungRechnungHistory" w:val="Schreiben an Mandant (Initiative freie Impfentscheidung e.V.)"/>
    <w:docVar w:name="database" w:val="KELLER"/>
    <w:docVar w:name="history" w:val="Schreiben an Mandant (Initiative freie Impfentscheidung e.V.)"/>
    <w:docVar w:name="kz" w:val="1"/>
    <w:docVar w:name="modified" w:val="1"/>
    <w:docVar w:name="Nr" w:val="2020000423"/>
    <w:docVar w:name="speichern" w:val="ja"/>
    <w:docVar w:name="Status" w:val="nein"/>
    <w:docVar w:name="telefax" w:val="per Fax: "/>
  </w:docVars>
  <w:rsids>
    <w:rsidRoot w:val="00A454CC"/>
    <w:rsid w:val="000317C7"/>
    <w:rsid w:val="00032A0C"/>
    <w:rsid w:val="000342A9"/>
    <w:rsid w:val="000478D8"/>
    <w:rsid w:val="0006746D"/>
    <w:rsid w:val="000762B3"/>
    <w:rsid w:val="001003A0"/>
    <w:rsid w:val="00112F5A"/>
    <w:rsid w:val="001555EE"/>
    <w:rsid w:val="001E36D1"/>
    <w:rsid w:val="002046B3"/>
    <w:rsid w:val="0023790D"/>
    <w:rsid w:val="00237EC2"/>
    <w:rsid w:val="0029207B"/>
    <w:rsid w:val="00295D37"/>
    <w:rsid w:val="00296694"/>
    <w:rsid w:val="002B4D26"/>
    <w:rsid w:val="002D14FA"/>
    <w:rsid w:val="00314270"/>
    <w:rsid w:val="00347CE4"/>
    <w:rsid w:val="00365188"/>
    <w:rsid w:val="00370A30"/>
    <w:rsid w:val="003A3FFA"/>
    <w:rsid w:val="003B1725"/>
    <w:rsid w:val="00401680"/>
    <w:rsid w:val="00417852"/>
    <w:rsid w:val="00421532"/>
    <w:rsid w:val="00425837"/>
    <w:rsid w:val="0044376F"/>
    <w:rsid w:val="004F5525"/>
    <w:rsid w:val="005276CF"/>
    <w:rsid w:val="005357B2"/>
    <w:rsid w:val="00540E2E"/>
    <w:rsid w:val="00550504"/>
    <w:rsid w:val="00565971"/>
    <w:rsid w:val="00566647"/>
    <w:rsid w:val="005A3734"/>
    <w:rsid w:val="005F068D"/>
    <w:rsid w:val="00611830"/>
    <w:rsid w:val="0061617E"/>
    <w:rsid w:val="00635E12"/>
    <w:rsid w:val="00641C3D"/>
    <w:rsid w:val="00664C86"/>
    <w:rsid w:val="00667014"/>
    <w:rsid w:val="00695AF2"/>
    <w:rsid w:val="0072473F"/>
    <w:rsid w:val="007257A0"/>
    <w:rsid w:val="00725E62"/>
    <w:rsid w:val="00743EE9"/>
    <w:rsid w:val="00761475"/>
    <w:rsid w:val="007A5267"/>
    <w:rsid w:val="007C58C4"/>
    <w:rsid w:val="00800881"/>
    <w:rsid w:val="008031C4"/>
    <w:rsid w:val="0080417C"/>
    <w:rsid w:val="008256F1"/>
    <w:rsid w:val="00843D1D"/>
    <w:rsid w:val="00865D89"/>
    <w:rsid w:val="00871941"/>
    <w:rsid w:val="008B20FB"/>
    <w:rsid w:val="008D6807"/>
    <w:rsid w:val="008D7975"/>
    <w:rsid w:val="008E25F7"/>
    <w:rsid w:val="008F617E"/>
    <w:rsid w:val="009467F3"/>
    <w:rsid w:val="00967974"/>
    <w:rsid w:val="00970143"/>
    <w:rsid w:val="00981530"/>
    <w:rsid w:val="009B69C5"/>
    <w:rsid w:val="009C2234"/>
    <w:rsid w:val="009C636A"/>
    <w:rsid w:val="009D7D67"/>
    <w:rsid w:val="00A01209"/>
    <w:rsid w:val="00A409D1"/>
    <w:rsid w:val="00A454CC"/>
    <w:rsid w:val="00A9492D"/>
    <w:rsid w:val="00AC638B"/>
    <w:rsid w:val="00AF32DC"/>
    <w:rsid w:val="00AF7974"/>
    <w:rsid w:val="00B105E4"/>
    <w:rsid w:val="00B72192"/>
    <w:rsid w:val="00BA7197"/>
    <w:rsid w:val="00C24C9B"/>
    <w:rsid w:val="00C27E8B"/>
    <w:rsid w:val="00C91675"/>
    <w:rsid w:val="00CC6CAD"/>
    <w:rsid w:val="00CE3631"/>
    <w:rsid w:val="00CF6311"/>
    <w:rsid w:val="00D52121"/>
    <w:rsid w:val="00D81931"/>
    <w:rsid w:val="00DC3825"/>
    <w:rsid w:val="00DC3AE2"/>
    <w:rsid w:val="00DD6D48"/>
    <w:rsid w:val="00E0652F"/>
    <w:rsid w:val="00E100AA"/>
    <w:rsid w:val="00E359B1"/>
    <w:rsid w:val="00EA26E5"/>
    <w:rsid w:val="00EB7F9C"/>
    <w:rsid w:val="00ED799A"/>
    <w:rsid w:val="00EE4B4F"/>
    <w:rsid w:val="00EE5149"/>
    <w:rsid w:val="00F164F0"/>
    <w:rsid w:val="00F52A6F"/>
    <w:rsid w:val="00F61F3D"/>
    <w:rsid w:val="00F72BE1"/>
    <w:rsid w:val="00FA37C4"/>
    <w:rsid w:val="00FA5B4F"/>
    <w:rsid w:val="00FC23FA"/>
    <w:rsid w:val="00FE6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2C805E"/>
  <w15:docId w15:val="{4FA8874F-C1EC-4503-A2A9-9CE10C1C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42A9"/>
    <w:pPr>
      <w:autoSpaceDE w:val="0"/>
      <w:autoSpaceDN w:val="0"/>
      <w:jc w:val="both"/>
    </w:pPr>
    <w:rPr>
      <w:rFonts w:ascii="Arial" w:hAnsi="Arial" w:cs="Arial"/>
      <w:sz w:val="22"/>
      <w:szCs w:val="22"/>
    </w:rPr>
  </w:style>
  <w:style w:type="paragraph" w:styleId="berschrift1">
    <w:name w:val="heading 1"/>
    <w:basedOn w:val="Standard"/>
    <w:next w:val="Standard"/>
    <w:qFormat/>
    <w:pPr>
      <w:keepNext/>
      <w:spacing w:before="240" w:after="60"/>
      <w:jc w:val="center"/>
      <w:outlineLvl w:val="0"/>
    </w:pPr>
    <w:rPr>
      <w:b/>
      <w:bCs/>
      <w:smallCaps/>
      <w:kern w:val="28"/>
      <w:sz w:val="32"/>
      <w:szCs w:val="32"/>
    </w:rPr>
  </w:style>
  <w:style w:type="paragraph" w:styleId="berschrift2">
    <w:name w:val="heading 2"/>
    <w:basedOn w:val="Standard"/>
    <w:next w:val="Standard"/>
    <w:qFormat/>
    <w:pPr>
      <w:keepNext/>
      <w:tabs>
        <w:tab w:val="left" w:pos="7230"/>
      </w:tabs>
      <w:outlineLvl w:val="1"/>
    </w:pPr>
    <w:rPr>
      <w:sz w:val="15"/>
      <w:szCs w:val="15"/>
      <w:u w:val="single"/>
    </w:rPr>
  </w:style>
  <w:style w:type="paragraph" w:styleId="berschrift3">
    <w:name w:val="heading 3"/>
    <w:basedOn w:val="Standard"/>
    <w:next w:val="Standard"/>
    <w:qFormat/>
    <w:pPr>
      <w:keepNext/>
      <w:ind w:left="-70"/>
      <w:outlineLvl w:val="2"/>
    </w:pPr>
    <w:rPr>
      <w:b/>
      <w:bCs/>
      <w:sz w:val="20"/>
      <w:szCs w:val="20"/>
    </w:rPr>
  </w:style>
  <w:style w:type="paragraph" w:styleId="berschrift4">
    <w:name w:val="heading 4"/>
    <w:basedOn w:val="Standard"/>
    <w:next w:val="Standard"/>
    <w:qFormat/>
    <w:pPr>
      <w:keepNext/>
      <w:outlineLvl w:val="3"/>
    </w:pPr>
    <w:rPr>
      <w:sz w:val="16"/>
      <w:szCs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semiHidden/>
    <w:rPr>
      <w:color w:val="0000FF"/>
      <w:u w:val="single"/>
    </w:rPr>
  </w:style>
  <w:style w:type="paragraph" w:customStyle="1" w:styleId="Seitenzahl1">
    <w:name w:val="Seitenzahl1"/>
    <w:basedOn w:val="Standard"/>
    <w:pPr>
      <w:tabs>
        <w:tab w:val="center" w:pos="4990"/>
      </w:tabs>
      <w:autoSpaceDE/>
      <w:autoSpaceDN/>
    </w:pPr>
  </w:style>
  <w:style w:type="character" w:customStyle="1" w:styleId="FuzeileZchn">
    <w:name w:val="Fußzeile Zchn"/>
    <w:link w:val="Fuzeile"/>
    <w:uiPriority w:val="99"/>
    <w:locked/>
    <w:rsid w:val="00EA26E5"/>
    <w:rPr>
      <w:rFonts w:ascii="Arial" w:hAnsi="Arial" w:cs="Arial"/>
      <w:sz w:val="24"/>
      <w:szCs w:val="24"/>
    </w:rPr>
  </w:style>
  <w:style w:type="paragraph" w:styleId="NurText">
    <w:name w:val="Plain Text"/>
    <w:basedOn w:val="Standard"/>
    <w:link w:val="NurTextZchn"/>
    <w:semiHidden/>
    <w:rsid w:val="007257A0"/>
  </w:style>
  <w:style w:type="character" w:customStyle="1" w:styleId="NurTextZchn">
    <w:name w:val="Nur Text Zchn"/>
    <w:link w:val="NurText"/>
    <w:semiHidden/>
    <w:locked/>
    <w:rsid w:val="007257A0"/>
    <w:rPr>
      <w:rFonts w:ascii="Arial" w:hAnsi="Arial" w:cs="Arial"/>
      <w:sz w:val="22"/>
      <w:szCs w:val="22"/>
    </w:rPr>
  </w:style>
  <w:style w:type="character" w:customStyle="1" w:styleId="KopfzeileZchn">
    <w:name w:val="Kopfzeile Zchn"/>
    <w:link w:val="Kopfzeile"/>
    <w:locked/>
    <w:rsid w:val="00D52121"/>
    <w:rPr>
      <w:rFonts w:ascii="Arial" w:hAnsi="Arial" w:cs="Arial"/>
      <w:sz w:val="24"/>
      <w:szCs w:val="24"/>
    </w:rPr>
  </w:style>
  <w:style w:type="paragraph" w:customStyle="1" w:styleId="Standard9pt">
    <w:name w:val="Standard + 9 pt"/>
    <w:aliases w:val="Schwarz"/>
    <w:basedOn w:val="Kopfzeile"/>
    <w:rsid w:val="008E25F7"/>
    <w:pPr>
      <w:framePr w:w="2551" w:hSpace="142" w:wrap="auto" w:vAnchor="page" w:hAnchor="page" w:x="8506" w:y="2479" w:anchorLock="1"/>
      <w:tabs>
        <w:tab w:val="clear" w:pos="4536"/>
        <w:tab w:val="clear" w:pos="9072"/>
        <w:tab w:val="left" w:pos="7088"/>
      </w:tabs>
    </w:pPr>
    <w:rPr>
      <w:sz w:val="18"/>
      <w:szCs w:val="18"/>
    </w:rPr>
  </w:style>
  <w:style w:type="paragraph" w:styleId="Sprechblasentext">
    <w:name w:val="Balloon Text"/>
    <w:basedOn w:val="Standard"/>
    <w:link w:val="SprechblasentextZchn"/>
    <w:rsid w:val="00641C3D"/>
    <w:rPr>
      <w:rFonts w:ascii="Tahoma" w:hAnsi="Tahoma" w:cs="Tahoma"/>
      <w:sz w:val="16"/>
      <w:szCs w:val="16"/>
    </w:rPr>
  </w:style>
  <w:style w:type="character" w:customStyle="1" w:styleId="SprechblasentextZchn">
    <w:name w:val="Sprechblasentext Zchn"/>
    <w:link w:val="Sprechblasentext"/>
    <w:rsid w:val="00641C3D"/>
    <w:rPr>
      <w:rFonts w:ascii="Tahoma" w:hAnsi="Tahoma" w:cs="Tahoma"/>
      <w:sz w:val="16"/>
      <w:szCs w:val="16"/>
    </w:rPr>
  </w:style>
  <w:style w:type="paragraph" w:customStyle="1" w:styleId="Anschrift">
    <w:name w:val="Anschrift"/>
    <w:basedOn w:val="Standard"/>
    <w:link w:val="AnschriftZchn"/>
    <w:qFormat/>
    <w:rsid w:val="000342A9"/>
    <w:pPr>
      <w:jc w:val="left"/>
    </w:pPr>
  </w:style>
  <w:style w:type="paragraph" w:customStyle="1" w:styleId="Registerzeile">
    <w:name w:val="Registerzeile"/>
    <w:basedOn w:val="Standard"/>
    <w:link w:val="RegisterzeileZchn"/>
    <w:qFormat/>
    <w:rsid w:val="000342A9"/>
    <w:pPr>
      <w:framePr w:w="7371" w:h="459" w:hRule="exact" w:wrap="around" w:vAnchor="page" w:hAnchor="page" w:x="1589" w:y="5212" w:anchorLock="1"/>
      <w:tabs>
        <w:tab w:val="left" w:pos="7088"/>
      </w:tabs>
    </w:pPr>
    <w:rPr>
      <w:color w:val="000000"/>
      <w:sz w:val="20"/>
      <w:szCs w:val="18"/>
    </w:rPr>
  </w:style>
  <w:style w:type="character" w:customStyle="1" w:styleId="AnschriftZchn">
    <w:name w:val="Anschrift Zchn"/>
    <w:link w:val="Anschrift"/>
    <w:rsid w:val="000342A9"/>
    <w:rPr>
      <w:rFonts w:ascii="Arial" w:hAnsi="Arial" w:cs="Arial"/>
      <w:sz w:val="22"/>
      <w:szCs w:val="22"/>
    </w:rPr>
  </w:style>
  <w:style w:type="paragraph" w:customStyle="1" w:styleId="FormatvorlageRegisterzeileRosa">
    <w:name w:val="Formatvorlage Registerzeile + Rosa"/>
    <w:basedOn w:val="Registerzeile"/>
    <w:rsid w:val="00FA5B4F"/>
    <w:pPr>
      <w:framePr w:wrap="around"/>
    </w:pPr>
  </w:style>
  <w:style w:type="character" w:customStyle="1" w:styleId="RegisterzeileZchn">
    <w:name w:val="Registerzeile Zchn"/>
    <w:link w:val="Registerzeile"/>
    <w:rsid w:val="000342A9"/>
    <w:rPr>
      <w:rFonts w:ascii="Arial" w:hAnsi="Arial" w:cs="Arial"/>
      <w:color w:val="000000"/>
      <w:szCs w:val="18"/>
    </w:rPr>
  </w:style>
  <w:style w:type="paragraph" w:customStyle="1" w:styleId="Rubrum-Betreff">
    <w:name w:val="Rubrum-Betreff"/>
    <w:basedOn w:val="Standard"/>
    <w:link w:val="Rubrum-BetreffZchn"/>
    <w:qFormat/>
    <w:rsid w:val="00C91675"/>
    <w:pPr>
      <w:tabs>
        <w:tab w:val="left" w:pos="4940"/>
      </w:tabs>
    </w:pPr>
    <w:rPr>
      <w:b/>
      <w:bCs/>
    </w:rPr>
  </w:style>
  <w:style w:type="paragraph" w:styleId="Anrede">
    <w:name w:val="Salutation"/>
    <w:basedOn w:val="Standard"/>
    <w:next w:val="Textkrper"/>
    <w:link w:val="AnredeZchn"/>
    <w:rsid w:val="00C91675"/>
    <w:pPr>
      <w:spacing w:before="120" w:after="240" w:line="360" w:lineRule="auto"/>
    </w:pPr>
  </w:style>
  <w:style w:type="character" w:customStyle="1" w:styleId="Rubrum-BetreffZchn">
    <w:name w:val="Rubrum-Betreff Zchn"/>
    <w:link w:val="Rubrum-Betreff"/>
    <w:rsid w:val="00C91675"/>
    <w:rPr>
      <w:rFonts w:ascii="Arial" w:hAnsi="Arial" w:cs="Arial"/>
      <w:b/>
      <w:bCs/>
      <w:sz w:val="22"/>
      <w:szCs w:val="22"/>
    </w:rPr>
  </w:style>
  <w:style w:type="character" w:customStyle="1" w:styleId="AnredeZchn">
    <w:name w:val="Anrede Zchn"/>
    <w:link w:val="Anrede"/>
    <w:rsid w:val="00C91675"/>
    <w:rPr>
      <w:rFonts w:ascii="Arial" w:hAnsi="Arial" w:cs="Arial"/>
      <w:sz w:val="22"/>
      <w:szCs w:val="22"/>
    </w:rPr>
  </w:style>
  <w:style w:type="paragraph" w:styleId="Textkrper">
    <w:name w:val="Body Text"/>
    <w:basedOn w:val="Standard"/>
    <w:link w:val="TextkrperZchn"/>
    <w:rsid w:val="008D6807"/>
    <w:pPr>
      <w:spacing w:before="80" w:after="80" w:line="360" w:lineRule="auto"/>
      <w:jc w:val="left"/>
    </w:pPr>
  </w:style>
  <w:style w:type="character" w:customStyle="1" w:styleId="TextkrperZchn">
    <w:name w:val="Textkörper Zchn"/>
    <w:link w:val="Textkrper"/>
    <w:rsid w:val="008D6807"/>
    <w:rPr>
      <w:rFonts w:ascii="Arial" w:hAnsi="Arial" w:cs="Arial"/>
      <w:sz w:val="22"/>
      <w:szCs w:val="22"/>
    </w:rPr>
  </w:style>
  <w:style w:type="character" w:styleId="Kommentarzeichen">
    <w:name w:val="annotation reference"/>
    <w:basedOn w:val="Absatz-Standardschriftart"/>
    <w:semiHidden/>
    <w:unhideWhenUsed/>
    <w:rsid w:val="00296694"/>
    <w:rPr>
      <w:sz w:val="16"/>
      <w:szCs w:val="16"/>
    </w:rPr>
  </w:style>
  <w:style w:type="paragraph" w:styleId="Kommentartext">
    <w:name w:val="annotation text"/>
    <w:basedOn w:val="Standard"/>
    <w:link w:val="KommentartextZchn"/>
    <w:semiHidden/>
    <w:unhideWhenUsed/>
    <w:rsid w:val="00296694"/>
    <w:rPr>
      <w:sz w:val="20"/>
      <w:szCs w:val="20"/>
    </w:rPr>
  </w:style>
  <w:style w:type="character" w:customStyle="1" w:styleId="KommentartextZchn">
    <w:name w:val="Kommentartext Zchn"/>
    <w:basedOn w:val="Absatz-Standardschriftart"/>
    <w:link w:val="Kommentartext"/>
    <w:semiHidden/>
    <w:rsid w:val="00296694"/>
    <w:rPr>
      <w:rFonts w:ascii="Arial" w:hAnsi="Arial" w:cs="Arial"/>
    </w:rPr>
  </w:style>
  <w:style w:type="paragraph" w:styleId="Kommentarthema">
    <w:name w:val="annotation subject"/>
    <w:basedOn w:val="Kommentartext"/>
    <w:next w:val="Kommentartext"/>
    <w:link w:val="KommentarthemaZchn"/>
    <w:semiHidden/>
    <w:unhideWhenUsed/>
    <w:rsid w:val="00296694"/>
    <w:rPr>
      <w:b/>
      <w:bCs/>
    </w:rPr>
  </w:style>
  <w:style w:type="character" w:customStyle="1" w:styleId="KommentarthemaZchn">
    <w:name w:val="Kommentarthema Zchn"/>
    <w:basedOn w:val="KommentartextZchn"/>
    <w:link w:val="Kommentarthema"/>
    <w:semiHidden/>
    <w:rsid w:val="0029669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343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ividuelle-impfentscheidung.de/fileadmin/Downloads/Rechtsgutachten_Rixen_2_Seite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verfassungsgericht.de/SharedDocs/Entscheidungen/DE/2020/05/rk20200511_1bvr046920.html;jsessionid=61C9EF89BA32304A9EF0FFFCD9DCE6ED.2_cid3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dividuelle-impfentscheidung.de/fileadmin/Downloads/Rechtsgutachten_Rixen_Langfassung.pdf" TargetMode="External"/><Relationship Id="rId4" Type="http://schemas.openxmlformats.org/officeDocument/2006/relationships/settings" Target="settings.xml"/><Relationship Id="rId9" Type="http://schemas.openxmlformats.org/officeDocument/2006/relationships/hyperlink" Target="https://www.individuelle-impfentscheidung.de/impfpflicht/verfassungsgutachten-ver%C3%B6ffentlicht-das-masernschutzgesetz-w%C3%A4re-verfassungswidrig.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Advoware\Dot\betAnsch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4E89-812E-477B-A3EF-FBFCD151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betAnschr</Template>
  <TotalTime>0</TotalTime>
  <Pages>4</Pages>
  <Words>968</Words>
  <Characters>6102</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Textbausteine Rechtsmittel 20-10-01.docx</vt:lpstr>
    </vt:vector>
  </TitlesOfParts>
  <Company>Hülskötter &amp; Partner</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Textbausteine Rechtsmittel 20-10-01.docx</dc:title>
  <dc:creator>Kerstin Meidlinger</dc:creator>
  <cp:keywords>2020000423</cp:keywords>
  <cp:lastModifiedBy>Sonja Muck</cp:lastModifiedBy>
  <cp:revision>2</cp:revision>
  <cp:lastPrinted>2018-10-23T20:26:00Z</cp:lastPrinted>
  <dcterms:created xsi:type="dcterms:W3CDTF">2022-06-03T14:18:00Z</dcterms:created>
  <dcterms:modified xsi:type="dcterms:W3CDTF">2022-06-03T14:18:00Z</dcterms:modified>
  <cp:category>Standardbriefkopf Advoware</cp:category>
</cp:coreProperties>
</file>